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723321" w14:textId="77777777" w:rsidR="00B3163C" w:rsidRDefault="00B3163C">
      <w:pPr>
        <w:jc w:val="center"/>
        <w:rPr>
          <w:b/>
          <w:bCs/>
          <w:sz w:val="20"/>
          <w:szCs w:val="20"/>
        </w:rPr>
      </w:pPr>
    </w:p>
    <w:p w14:paraId="20202CEA" w14:textId="77777777" w:rsidR="00B3163C" w:rsidRPr="000F7F7C" w:rsidRDefault="00000000">
      <w:pPr>
        <w:spacing w:after="120" w:line="240" w:lineRule="auto"/>
        <w:jc w:val="center"/>
        <w:rPr>
          <w:rFonts w:ascii="Times New Roman" w:eastAsia="Times New Roman" w:hAnsi="Times New Roman" w:cs="Times New Roman"/>
          <w:b/>
          <w:bCs/>
          <w:sz w:val="24"/>
          <w:szCs w:val="24"/>
          <w:lang w:val="es-ES"/>
        </w:rPr>
      </w:pPr>
      <w:proofErr w:type="spellStart"/>
      <w:r w:rsidRPr="000F7F7C">
        <w:rPr>
          <w:rFonts w:ascii="Times New Roman" w:eastAsia="Times New Roman" w:hAnsi="Times New Roman" w:cs="Times New Roman"/>
          <w:b/>
          <w:bCs/>
          <w:sz w:val="24"/>
          <w:szCs w:val="24"/>
          <w:lang w:val="es-ES"/>
        </w:rPr>
        <w:t>XVIe</w:t>
      </w:r>
      <w:proofErr w:type="spellEnd"/>
      <w:r w:rsidRPr="000F7F7C">
        <w:rPr>
          <w:rFonts w:ascii="Times New Roman" w:eastAsia="Times New Roman" w:hAnsi="Times New Roman" w:cs="Times New Roman"/>
          <w:b/>
          <w:bCs/>
          <w:sz w:val="24"/>
          <w:szCs w:val="24"/>
          <w:lang w:val="es-ES"/>
        </w:rPr>
        <w:t xml:space="preserve"> CONGRÈS INTERNATIONAL NUESTRO PATRIMONIO COMÚN (NPC)</w:t>
      </w:r>
    </w:p>
    <w:p w14:paraId="0D67E221" w14:textId="77777777" w:rsidR="00B3163C" w:rsidRDefault="00000000">
      <w:pPr>
        <w:spacing w:after="120" w:line="24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b/>
          <w:bCs/>
          <w:i/>
          <w:iCs/>
          <w:color w:val="FF0000"/>
          <w:sz w:val="24"/>
          <w:szCs w:val="24"/>
        </w:rPr>
        <w:t>« Entre savoirs et saveurs : manger, boire, vivre dans le monde hispanique »</w:t>
      </w:r>
    </w:p>
    <w:p w14:paraId="655ACCA6" w14:textId="1C7D52F9" w:rsidR="00B3163C" w:rsidRDefault="000F7F7C">
      <w:pPr>
        <w:jc w:val="center"/>
        <w:rPr>
          <w:b/>
          <w:bCs/>
          <w:sz w:val="20"/>
          <w:szCs w:val="20"/>
        </w:rPr>
      </w:pPr>
      <w:r>
        <w:rPr>
          <w:b/>
          <w:bCs/>
          <w:sz w:val="20"/>
          <w:szCs w:val="20"/>
        </w:rPr>
        <w:t>Université Paris Nanterre, du 17 au 20 juin 2026, Bâtiment Max Weber</w:t>
      </w:r>
    </w:p>
    <w:p w14:paraId="6769F324" w14:textId="77777777" w:rsidR="00B3163C" w:rsidRDefault="00B3163C">
      <w:pPr>
        <w:jc w:val="both"/>
        <w:rPr>
          <w:sz w:val="20"/>
          <w:szCs w:val="20"/>
        </w:rPr>
      </w:pPr>
    </w:p>
    <w:p w14:paraId="66A18910" w14:textId="77777777" w:rsidR="00B3163C" w:rsidRDefault="00000000">
      <w:pPr>
        <w:spacing w:before="240" w:after="240" w:line="240" w:lineRule="auto"/>
        <w:jc w:val="both"/>
        <w:rPr>
          <w:sz w:val="20"/>
          <w:szCs w:val="20"/>
        </w:rPr>
      </w:pPr>
      <w:r>
        <w:rPr>
          <w:sz w:val="20"/>
          <w:szCs w:val="20"/>
        </w:rPr>
        <w:t xml:space="preserve">La </w:t>
      </w:r>
      <w:proofErr w:type="spellStart"/>
      <w:r>
        <w:rPr>
          <w:sz w:val="20"/>
          <w:szCs w:val="20"/>
        </w:rPr>
        <w:t>Asociación</w:t>
      </w:r>
      <w:proofErr w:type="spellEnd"/>
      <w:r>
        <w:rPr>
          <w:sz w:val="20"/>
          <w:szCs w:val="20"/>
        </w:rPr>
        <w:t xml:space="preserve"> de Historia </w:t>
      </w:r>
      <w:proofErr w:type="spellStart"/>
      <w:r>
        <w:rPr>
          <w:sz w:val="20"/>
          <w:szCs w:val="20"/>
        </w:rPr>
        <w:t>Actual</w:t>
      </w:r>
      <w:proofErr w:type="spellEnd"/>
      <w:r>
        <w:rPr>
          <w:sz w:val="20"/>
          <w:szCs w:val="20"/>
        </w:rPr>
        <w:t xml:space="preserve"> (AHA), le Centre de Recherches Ibériques et Ibéro-Américaines (CRIIA, UR Études romanes) de l'Université Paris Nanterre et le Grupo de </w:t>
      </w:r>
      <w:proofErr w:type="spellStart"/>
      <w:r>
        <w:rPr>
          <w:sz w:val="20"/>
          <w:szCs w:val="20"/>
        </w:rPr>
        <w:t>Estudios</w:t>
      </w:r>
      <w:proofErr w:type="spellEnd"/>
      <w:r>
        <w:rPr>
          <w:sz w:val="20"/>
          <w:szCs w:val="20"/>
        </w:rPr>
        <w:t xml:space="preserve"> de Historia </w:t>
      </w:r>
      <w:proofErr w:type="spellStart"/>
      <w:r>
        <w:rPr>
          <w:sz w:val="20"/>
          <w:szCs w:val="20"/>
        </w:rPr>
        <w:t>Actual</w:t>
      </w:r>
      <w:proofErr w:type="spellEnd"/>
      <w:r>
        <w:rPr>
          <w:sz w:val="20"/>
          <w:szCs w:val="20"/>
        </w:rPr>
        <w:t xml:space="preserve"> (GEHA) de l'Université de Cadix organisent le XVIᵉ Congrès international </w:t>
      </w:r>
      <w:r>
        <w:rPr>
          <w:i/>
          <w:iCs/>
          <w:sz w:val="20"/>
          <w:szCs w:val="20"/>
        </w:rPr>
        <w:t>Nuestro Patrimonio Común</w:t>
      </w:r>
      <w:r>
        <w:rPr>
          <w:sz w:val="20"/>
          <w:szCs w:val="20"/>
        </w:rPr>
        <w:t xml:space="preserve"> sur le campus de l'Université Paris Nanterre du 17 au 20 juin 2026. Dans le cadre du projet quinquennal du CRIIA pour 2024-2028, intitulé « Les nourritures terrestres dans les mondes hispaniques du Moyen Âge à nos jours », le congrès portera sur la thématique suivante : </w:t>
      </w:r>
      <w:r>
        <w:rPr>
          <w:i/>
          <w:iCs/>
          <w:sz w:val="20"/>
          <w:szCs w:val="20"/>
        </w:rPr>
        <w:t>Entre savoirs et saveurs : manger, boire, vivre dans le monde hispanique</w:t>
      </w:r>
      <w:r>
        <w:rPr>
          <w:sz w:val="20"/>
          <w:szCs w:val="20"/>
        </w:rPr>
        <w:t>.</w:t>
      </w:r>
    </w:p>
    <w:p w14:paraId="5E14149C" w14:textId="77777777" w:rsidR="00B3163C" w:rsidRDefault="00000000">
      <w:pPr>
        <w:spacing w:before="240" w:after="240" w:line="240" w:lineRule="auto"/>
        <w:jc w:val="both"/>
        <w:rPr>
          <w:sz w:val="20"/>
          <w:szCs w:val="20"/>
        </w:rPr>
      </w:pPr>
      <w:r>
        <w:rPr>
          <w:sz w:val="20"/>
          <w:szCs w:val="20"/>
        </w:rPr>
        <w:t xml:space="preserve">Ce congrès se propose d’interroger les liens entre alimentation, culture et société dans les aires hispaniques, en s’inscrivant dans le champ élargi des </w:t>
      </w:r>
      <w:r>
        <w:rPr>
          <w:i/>
          <w:iCs/>
          <w:sz w:val="20"/>
          <w:szCs w:val="20"/>
        </w:rPr>
        <w:t xml:space="preserve">Food </w:t>
      </w:r>
      <w:proofErr w:type="spellStart"/>
      <w:r>
        <w:rPr>
          <w:i/>
          <w:iCs/>
          <w:sz w:val="20"/>
          <w:szCs w:val="20"/>
        </w:rPr>
        <w:t>Studies</w:t>
      </w:r>
      <w:proofErr w:type="spellEnd"/>
      <w:r>
        <w:rPr>
          <w:sz w:val="20"/>
          <w:szCs w:val="20"/>
        </w:rPr>
        <w:t>. Il entend explorer comment, au fil du temps et à travers les mondes hispaniques, manger, nourrir et se nourrir sont devenus des actes profondément culturels, porteurs d’identité, de mémoire et de pouvoir symbolique. Fort d’une approche résolument disciplinaire, il ambitionne de faire dialoguer différents champs (histoire, sociologie, anthropologie, économie, littérature et arts) afin de penser les pratiques culinaires et les représentations alimentaires du XIXᵉ siècle à nos jours. Les enjeux abordés sont vastes - questions identitaires, hiérarchies sociales, pouvoir mémoriel et symbolique de la table - mais l’accent sera mis sur les pratiques culinaires en tant que marqueur(s) culturel(s), sur les hiérarchies sociales liées à l’acte de manger et sur la dimension mémorielle et symbolique du repas et de la nourriture. Les communications concernent l’Amérique latine, l’Espagne ou encore les circulations ayant existé entre ces deux aires. Dans ce sens, le congrès interrogera les liens spécifiques en termes d’histoire culinaire, de pratiques alimentaires ou, plus globalement, de « patrimoine culinaire, gastronomique et alimentaire » commun.</w:t>
      </w:r>
    </w:p>
    <w:p w14:paraId="436790CB" w14:textId="77777777" w:rsidR="00B3163C" w:rsidRDefault="00000000">
      <w:pPr>
        <w:spacing w:before="240" w:after="240" w:line="240" w:lineRule="auto"/>
        <w:jc w:val="both"/>
        <w:rPr>
          <w:sz w:val="20"/>
          <w:szCs w:val="20"/>
        </w:rPr>
      </w:pPr>
      <w:r>
        <w:rPr>
          <w:sz w:val="20"/>
          <w:szCs w:val="20"/>
        </w:rPr>
        <w:t xml:space="preserve">Les études alimentaires impliquent nécessairement une approche transdisciplinaire, propre aux congrès </w:t>
      </w:r>
      <w:r>
        <w:rPr>
          <w:i/>
          <w:iCs/>
          <w:sz w:val="20"/>
          <w:szCs w:val="20"/>
        </w:rPr>
        <w:t>Nuestro Patrimonio Común</w:t>
      </w:r>
      <w:r>
        <w:rPr>
          <w:sz w:val="20"/>
          <w:szCs w:val="20"/>
        </w:rPr>
        <w:t>, et exigent le croisement de perspectives linguistiques, artistiques, littéraires, culturelles, historiques, géographiques, sociologiques, économiques, politiques ou communicationnelles, indispensables pour appréhender les divers aspects de la production, de la distribution, de la préparation et de la consommation des aliments sous toutes leurs latitudes. L’objectif est d’interroger la signification des aliments, leur rôle dans la société et leur impact sur de multiples dimensions de la vie humaine, y compris psychiques et symboliques.</w:t>
      </w:r>
    </w:p>
    <w:p w14:paraId="772A99B4" w14:textId="77777777" w:rsidR="00B3163C" w:rsidRDefault="00000000">
      <w:pPr>
        <w:spacing w:before="240" w:after="240" w:line="240" w:lineRule="auto"/>
        <w:jc w:val="both"/>
        <w:rPr>
          <w:sz w:val="20"/>
          <w:szCs w:val="20"/>
        </w:rPr>
      </w:pPr>
      <w:r>
        <w:rPr>
          <w:sz w:val="20"/>
          <w:szCs w:val="20"/>
        </w:rPr>
        <w:t xml:space="preserve">Dans une perspective diachronique, le congrès ambitionne de mesurer et d'étudier les différences entre pratiques passées et actuelles. Les transformations des coutumes alimentaires ont été si importantes que les codes propres aux périodes préindustrielles (Antiquité, Moyen Âge, Époque moderne) nous échappent. Bien que ce domaine ait déjà fait l’objet de nombreuses études, il n’est pas épuisé ; au contraire, il offre de nouvelles façons d’envisager les </w:t>
      </w:r>
      <w:r>
        <w:rPr>
          <w:i/>
          <w:iCs/>
          <w:sz w:val="20"/>
          <w:szCs w:val="20"/>
        </w:rPr>
        <w:t xml:space="preserve">Food </w:t>
      </w:r>
      <w:proofErr w:type="spellStart"/>
      <w:r>
        <w:rPr>
          <w:i/>
          <w:iCs/>
          <w:sz w:val="20"/>
          <w:szCs w:val="20"/>
        </w:rPr>
        <w:t>Studies</w:t>
      </w:r>
      <w:proofErr w:type="spellEnd"/>
      <w:r>
        <w:rPr>
          <w:sz w:val="20"/>
          <w:szCs w:val="20"/>
        </w:rPr>
        <w:t>.</w:t>
      </w:r>
    </w:p>
    <w:p w14:paraId="3857860D" w14:textId="77777777" w:rsidR="00B3163C" w:rsidRDefault="00000000">
      <w:pPr>
        <w:spacing w:before="240" w:after="240" w:line="240" w:lineRule="auto"/>
        <w:jc w:val="both"/>
        <w:rPr>
          <w:sz w:val="20"/>
          <w:szCs w:val="20"/>
        </w:rPr>
      </w:pPr>
      <w:r>
        <w:rPr>
          <w:sz w:val="20"/>
          <w:szCs w:val="20"/>
        </w:rPr>
        <w:t xml:space="preserve">Dans cette optique, le congrès analysera en particulier les pratiques culinaires en tant que marqueur culturel, les hiérarchies sociales liées à l'acte de manger et le pouvoir mémoriel et symbolique de la nourriture. Une attention particulière sera portée aux réflexions d’ordre transnational et aux liens existant entre histoire culinaire, pratiques alimentaires ou, plus globalement, patrimoine culinaire, gastronomique et alimentaire commun. </w:t>
      </w:r>
    </w:p>
    <w:p w14:paraId="10BE7DB6" w14:textId="5B4A82A3" w:rsidR="00B3163C" w:rsidRDefault="000F7F7C">
      <w:pPr>
        <w:spacing w:before="240" w:after="240" w:line="240" w:lineRule="auto"/>
        <w:jc w:val="both"/>
        <w:rPr>
          <w:sz w:val="20"/>
          <w:szCs w:val="20"/>
        </w:rPr>
      </w:pPr>
      <w:r>
        <w:rPr>
          <w:sz w:val="20"/>
          <w:szCs w:val="20"/>
        </w:rPr>
        <w:t xml:space="preserve">Contact : </w:t>
      </w:r>
    </w:p>
    <w:p w14:paraId="76E9728D" w14:textId="77777777" w:rsidR="00B3163C" w:rsidRDefault="00B3163C">
      <w:pPr>
        <w:spacing w:line="240" w:lineRule="auto"/>
        <w:jc w:val="both"/>
        <w:rPr>
          <w:sz w:val="20"/>
          <w:szCs w:val="20"/>
        </w:rPr>
      </w:pPr>
    </w:p>
    <w:p w14:paraId="74DC7757" w14:textId="77777777" w:rsidR="00B3163C" w:rsidRDefault="00B3163C">
      <w:pPr>
        <w:jc w:val="both"/>
        <w:rPr>
          <w:color w:val="1F1F1F"/>
          <w:sz w:val="20"/>
          <w:szCs w:val="20"/>
          <w:highlight w:val="white"/>
        </w:rPr>
      </w:pPr>
    </w:p>
    <w:sectPr w:rsidR="00B3163C">
      <w:head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0B93DE" w14:textId="77777777" w:rsidR="001C44D8" w:rsidRDefault="001C44D8">
      <w:pPr>
        <w:spacing w:line="240" w:lineRule="auto"/>
      </w:pPr>
      <w:r>
        <w:separator/>
      </w:r>
    </w:p>
  </w:endnote>
  <w:endnote w:type="continuationSeparator" w:id="0">
    <w:p w14:paraId="552B5B7F" w14:textId="77777777" w:rsidR="001C44D8" w:rsidRDefault="001C44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3EBA826E-65F9-455A-9B89-55D354ECC560}"/>
  </w:font>
  <w:font w:name="Calibri">
    <w:panose1 w:val="020F0502020204030204"/>
    <w:charset w:val="00"/>
    <w:family w:val="swiss"/>
    <w:pitch w:val="variable"/>
    <w:sig w:usb0="E4002EFF" w:usb1="C200247B" w:usb2="00000009" w:usb3="00000000" w:csb0="000001FF" w:csb1="00000000"/>
    <w:embedRegular r:id="rId2" w:fontKey="{395704BD-8098-4ADD-90F1-D0138F29663C}"/>
  </w:font>
  <w:font w:name="Cambria">
    <w:panose1 w:val="02040503050406030204"/>
    <w:charset w:val="00"/>
    <w:family w:val="roman"/>
    <w:pitch w:val="variable"/>
    <w:sig w:usb0="E00006FF" w:usb1="420024FF" w:usb2="02000000" w:usb3="00000000" w:csb0="0000019F" w:csb1="00000000"/>
    <w:embedRegular r:id="rId3" w:fontKey="{9977113F-2A06-46AE-B8B9-AC2E6ED403E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442F0E" w14:textId="77777777" w:rsidR="001C44D8" w:rsidRDefault="001C44D8">
      <w:pPr>
        <w:spacing w:line="240" w:lineRule="auto"/>
      </w:pPr>
      <w:r>
        <w:separator/>
      </w:r>
    </w:p>
  </w:footnote>
  <w:footnote w:type="continuationSeparator" w:id="0">
    <w:p w14:paraId="02EB8518" w14:textId="77777777" w:rsidR="001C44D8" w:rsidRDefault="001C44D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6B927" w14:textId="77777777" w:rsidR="00B3163C" w:rsidRDefault="00000000">
    <w:pPr>
      <w:tabs>
        <w:tab w:val="center" w:pos="4536"/>
        <w:tab w:val="right" w:pos="9072"/>
      </w:tabs>
      <w:spacing w:line="240" w:lineRule="auto"/>
      <w:jc w:val="center"/>
      <w:rPr>
        <w:rFonts w:ascii="Aptos" w:eastAsia="Aptos" w:hAnsi="Aptos" w:cs="Aptos"/>
        <w:sz w:val="24"/>
        <w:szCs w:val="24"/>
      </w:rPr>
    </w:pPr>
    <w:r>
      <w:rPr>
        <w:rFonts w:ascii="Aptos" w:eastAsia="Aptos" w:hAnsi="Aptos" w:cs="Aptos"/>
        <w:noProof/>
        <w:sz w:val="24"/>
        <w:szCs w:val="24"/>
      </w:rPr>
      <w:drawing>
        <wp:inline distT="114300" distB="114300" distL="114300" distR="114300" wp14:anchorId="55845AC9" wp14:editId="519BB952">
          <wp:extent cx="1299496" cy="746725"/>
          <wp:effectExtent l="0" t="0" r="0" b="0"/>
          <wp:docPr id="2" name="image1.png" descr="Une image contenant texte, Police, capture d’écran&#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png" descr="Une image contenant texte, Police, capture d’écran&#10;&#10;Description générée automatiquement"/>
                  <pic:cNvPicPr preferRelativeResize="0"/>
                </pic:nvPicPr>
                <pic:blipFill>
                  <a:blip r:embed="rId1"/>
                  <a:srcRect/>
                  <a:stretch>
                    <a:fillRect/>
                  </a:stretch>
                </pic:blipFill>
                <pic:spPr>
                  <a:xfrm>
                    <a:off x="0" y="0"/>
                    <a:ext cx="1299496" cy="746725"/>
                  </a:xfrm>
                  <a:prstGeom prst="rect">
                    <a:avLst/>
                  </a:prstGeom>
                  <a:ln/>
                </pic:spPr>
              </pic:pic>
            </a:graphicData>
          </a:graphic>
        </wp:inline>
      </w:drawing>
    </w:r>
    <w:r>
      <w:rPr>
        <w:rFonts w:ascii="Aptos" w:eastAsia="Aptos" w:hAnsi="Aptos" w:cs="Aptos"/>
        <w:noProof/>
        <w:sz w:val="24"/>
        <w:szCs w:val="24"/>
      </w:rPr>
      <w:drawing>
        <wp:inline distT="0" distB="0" distL="0" distR="0" wp14:anchorId="5E2152A2" wp14:editId="3F6BF482">
          <wp:extent cx="1931202" cy="534882"/>
          <wp:effectExtent l="0" t="0" r="0" b="0"/>
          <wp:docPr id="1" name="image4.png" descr="Universidad de Cádiz - European University of the&#10;                  Seas"/>
          <wp:cNvGraphicFramePr/>
          <a:graphic xmlns:a="http://schemas.openxmlformats.org/drawingml/2006/main">
            <a:graphicData uri="http://schemas.openxmlformats.org/drawingml/2006/picture">
              <pic:pic xmlns:pic="http://schemas.openxmlformats.org/drawingml/2006/picture">
                <pic:nvPicPr>
                  <pic:cNvPr id="0" name="image4.png" descr="Universidad de Cádiz - European University of the&#10;                  Seas"/>
                  <pic:cNvPicPr preferRelativeResize="0"/>
                </pic:nvPicPr>
                <pic:blipFill>
                  <a:blip r:embed="rId2"/>
                  <a:srcRect/>
                  <a:stretch>
                    <a:fillRect/>
                  </a:stretch>
                </pic:blipFill>
                <pic:spPr>
                  <a:xfrm>
                    <a:off x="0" y="0"/>
                    <a:ext cx="1931202" cy="534882"/>
                  </a:xfrm>
                  <a:prstGeom prst="rect">
                    <a:avLst/>
                  </a:prstGeom>
                  <a:ln/>
                </pic:spPr>
              </pic:pic>
            </a:graphicData>
          </a:graphic>
        </wp:inline>
      </w:drawing>
    </w:r>
    <w:r>
      <w:rPr>
        <w:rFonts w:ascii="Aptos" w:eastAsia="Aptos" w:hAnsi="Aptos" w:cs="Aptos"/>
        <w:noProof/>
        <w:sz w:val="24"/>
        <w:szCs w:val="24"/>
      </w:rPr>
      <w:drawing>
        <wp:inline distT="0" distB="0" distL="0" distR="0" wp14:anchorId="2B8FE908" wp14:editId="4AEBAE86">
          <wp:extent cx="1219200" cy="655320"/>
          <wp:effectExtent l="0" t="0" r="0" b="0"/>
          <wp:docPr id="4" name="image2.png" descr="Une image contenant Police, logo, Graphique, blanc&#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png" descr="Une image contenant Police, logo, Graphique, blanc&#10;&#10;Description générée automatiquement"/>
                  <pic:cNvPicPr preferRelativeResize="0"/>
                </pic:nvPicPr>
                <pic:blipFill>
                  <a:blip r:embed="rId3"/>
                  <a:srcRect b="23892"/>
                  <a:stretch>
                    <a:fillRect/>
                  </a:stretch>
                </pic:blipFill>
                <pic:spPr>
                  <a:xfrm>
                    <a:off x="0" y="0"/>
                    <a:ext cx="1219200" cy="655320"/>
                  </a:xfrm>
                  <a:prstGeom prst="rect">
                    <a:avLst/>
                  </a:prstGeom>
                  <a:ln/>
                </pic:spPr>
              </pic:pic>
            </a:graphicData>
          </a:graphic>
        </wp:inline>
      </w:drawing>
    </w:r>
    <w:r>
      <w:rPr>
        <w:rFonts w:ascii="Aptos" w:eastAsia="Aptos" w:hAnsi="Aptos" w:cs="Aptos"/>
        <w:noProof/>
        <w:sz w:val="24"/>
        <w:szCs w:val="24"/>
      </w:rPr>
      <w:drawing>
        <wp:inline distT="0" distB="0" distL="0" distR="0" wp14:anchorId="4E93239E" wp14:editId="7DCA5589">
          <wp:extent cx="845820" cy="655320"/>
          <wp:effectExtent l="0" t="0" r="0" b="0"/>
          <wp:docPr id="3" name="image3.png" descr="Une image contenant Police, logo, Graphique, roug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3.png" descr="Une image contenant Police, logo, Graphique, rouge&#10;&#10;Description générée automatiquement"/>
                  <pic:cNvPicPr preferRelativeResize="0"/>
                </pic:nvPicPr>
                <pic:blipFill>
                  <a:blip r:embed="rId4"/>
                  <a:srcRect/>
                  <a:stretch>
                    <a:fillRect/>
                  </a:stretch>
                </pic:blipFill>
                <pic:spPr>
                  <a:xfrm>
                    <a:off x="0" y="0"/>
                    <a:ext cx="845820" cy="655320"/>
                  </a:xfrm>
                  <a:prstGeom prst="rect">
                    <a:avLst/>
                  </a:prstGeom>
                  <a:ln/>
                </pic:spPr>
              </pic:pic>
            </a:graphicData>
          </a:graphic>
        </wp:inline>
      </w:drawing>
    </w:r>
  </w:p>
  <w:p w14:paraId="66F9E595" w14:textId="77777777" w:rsidR="00B3163C" w:rsidRDefault="00B3163C"/>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63C"/>
    <w:rsid w:val="000F7F7C"/>
    <w:rsid w:val="001C44D8"/>
    <w:rsid w:val="00B3163C"/>
    <w:rsid w:val="00F03EE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017D8"/>
  <w15:docId w15:val="{49E579CB-6D7F-4298-81E8-8DDE5691E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paragraph" w:styleId="Sous-titr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B7sMQwiMTPHNeqNcTDiaSOxpHA==">CgMxLjA4AHIhMXlXdERpVnYxbnFodkdDaHl2RzhwSkNUSzJjcExOMkNm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579</Words>
  <Characters>3185</Characters>
  <Application>Microsoft Office Word</Application>
  <DocSecurity>0</DocSecurity>
  <Lines>26</Lines>
  <Paragraphs>7</Paragraphs>
  <ScaleCrop>false</ScaleCrop>
  <Company/>
  <LinksUpToDate>false</LinksUpToDate>
  <CharactersWithSpaces>3757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Anonymous</cp:lastModifiedBy>
  <cp:revision>2</cp:revision>
  <dcterms:created xsi:type="dcterms:W3CDTF">2025-11-28T12:24:00Z</dcterms:created>
  <dcterms:modified xsi:type="dcterms:W3CDTF">2026-02-13T10:50:00Z</dcterms:modified>
</cp:coreProperties>
</file>